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Modèle de cahier des charges à remplir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le cahier des charges de votre projet,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https://www.appvizer.fr/magazine/operations/gestion-de-projet/cahier-des-charges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quntlklf2vry" w:id="0"/>
      <w:bookmarkEnd w:id="0"/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B">
          <w:pPr>
            <w:spacing w:after="80" w:before="200" w:line="240" w:lineRule="auto"/>
            <w:ind w:left="0" w:firstLine="0"/>
            <w:rPr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C">
      <w:pPr>
        <w:spacing w:after="300" w:before="300" w:line="377.14285714285717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300" w:before="300" w:line="377.14285714285717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00" w:before="300" w:line="377.14285714285717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300" w:before="300" w:line="377.14285714285717" w:lineRule="auto"/>
        <w:jc w:val="left"/>
        <w:rPr/>
      </w:pPr>
      <w:bookmarkStart w:colFirst="0" w:colLast="0" w:name="_pdzz7y83haz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300" w:before="300" w:line="377.14285714285717" w:lineRule="auto"/>
        <w:jc w:val="left"/>
        <w:rPr/>
      </w:pPr>
      <w:bookmarkStart w:colFirst="0" w:colLast="0" w:name="_9dx7es1dzwv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after="300" w:before="300" w:line="377.14285714285717" w:lineRule="auto"/>
        <w:jc w:val="left"/>
        <w:rPr>
          <w:rFonts w:ascii="Poppins" w:cs="Poppins" w:eastAsia="Poppins" w:hAnsi="Poppins"/>
        </w:rPr>
      </w:pPr>
      <w:bookmarkStart w:colFirst="0" w:colLast="0" w:name="_4xznmuce8533" w:id="3"/>
      <w:bookmarkEnd w:id="3"/>
      <w:r w:rsidDel="00000000" w:rsidR="00000000" w:rsidRPr="00000000">
        <w:rPr>
          <w:rtl w:val="0"/>
        </w:rPr>
        <w:t xml:space="preserve">1. Présentation de l’entreprise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Rule="auto"/>
        <w:ind w:left="720" w:firstLine="0"/>
        <w:jc w:val="left"/>
        <w:rPr/>
      </w:pPr>
      <w:bookmarkStart w:colFirst="0" w:colLast="0" w:name="_unz8dqk6bm1m" w:id="4"/>
      <w:bookmarkEnd w:id="4"/>
      <w:r w:rsidDel="00000000" w:rsidR="00000000" w:rsidRPr="00000000">
        <w:rPr>
          <w:rtl w:val="0"/>
        </w:rPr>
        <w:t xml:space="preserve">2. Présentation du projet</w:t>
      </w:r>
    </w:p>
    <w:p w:rsidR="00000000" w:rsidDel="00000000" w:rsidP="00000000" w:rsidRDefault="00000000" w:rsidRPr="00000000" w14:paraId="0000001A">
      <w:pPr>
        <w:pStyle w:val="Heading3"/>
        <w:spacing w:after="300" w:before="300" w:line="377.14285714285717" w:lineRule="auto"/>
        <w:jc w:val="left"/>
        <w:rPr>
          <w:rFonts w:ascii="Poppins" w:cs="Poppins" w:eastAsia="Poppins" w:hAnsi="Poppins"/>
        </w:rPr>
      </w:pPr>
      <w:bookmarkStart w:colFirst="0" w:colLast="0" w:name="_bv7tvgxmnkxy" w:id="5"/>
      <w:bookmarkEnd w:id="5"/>
      <w:r w:rsidDel="00000000" w:rsidR="00000000" w:rsidRPr="00000000">
        <w:rPr>
          <w:rtl w:val="0"/>
        </w:rPr>
        <w:t xml:space="preserve">Contexte</w:t>
      </w: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Style w:val="Heading3"/>
        <w:spacing w:after="300" w:before="300" w:line="377.14285714285717" w:lineRule="auto"/>
        <w:ind w:left="0" w:firstLine="0"/>
        <w:jc w:val="left"/>
        <w:rPr/>
      </w:pPr>
      <w:bookmarkStart w:colFirst="0" w:colLast="0" w:name="_v0u01qduafo7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spacing w:after="300" w:before="300" w:line="377.14285714285717" w:lineRule="auto"/>
        <w:jc w:val="left"/>
        <w:rPr>
          <w:rFonts w:ascii="Poppins" w:cs="Poppins" w:eastAsia="Poppins" w:hAnsi="Poppins"/>
        </w:rPr>
      </w:pPr>
      <w:bookmarkStart w:colFirst="0" w:colLast="0" w:name="_jsnvmf9y88y0" w:id="7"/>
      <w:bookmarkEnd w:id="7"/>
      <w:r w:rsidDel="00000000" w:rsidR="00000000" w:rsidRPr="00000000">
        <w:rPr>
          <w:rtl w:val="0"/>
        </w:rPr>
        <w:t xml:space="preserve">Objectifs</w:t>
      </w: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Style w:val="Heading3"/>
        <w:spacing w:after="300" w:before="300" w:line="377.14285714285717" w:lineRule="auto"/>
        <w:ind w:left="720"/>
        <w:jc w:val="left"/>
        <w:rPr>
          <w:rFonts w:ascii="Poppins" w:cs="Poppins" w:eastAsia="Poppins" w:hAnsi="Poppins"/>
        </w:rPr>
      </w:pPr>
      <w:bookmarkStart w:colFirst="0" w:colLast="0" w:name="_4sgejwq4zo2u" w:id="8"/>
      <w:bookmarkEnd w:id="8"/>
      <w:r w:rsidDel="00000000" w:rsidR="00000000" w:rsidRPr="00000000">
        <w:rPr>
          <w:rtl w:val="0"/>
        </w:rPr>
        <w:t xml:space="preserve">Périmètre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>
          <w:rFonts w:ascii="Poppins" w:cs="Poppins" w:eastAsia="Poppins" w:hAnsi="Poppins"/>
          <w:color w:val="5f6c72"/>
          <w:sz w:val="21"/>
          <w:szCs w:val="21"/>
        </w:rPr>
      </w:pPr>
      <w:bookmarkStart w:colFirst="0" w:colLast="0" w:name="_4cje1gg51an2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spacing w:after="300" w:before="300" w:line="377.14285714285717" w:lineRule="auto"/>
        <w:jc w:val="left"/>
        <w:rPr/>
      </w:pPr>
      <w:bookmarkStart w:colFirst="0" w:colLast="0" w:name="_pqj59og894s7" w:id="10"/>
      <w:bookmarkEnd w:id="10"/>
      <w:r w:rsidDel="00000000" w:rsidR="00000000" w:rsidRPr="00000000">
        <w:rPr>
          <w:rtl w:val="0"/>
        </w:rPr>
        <w:t xml:space="preserve">Eléments existants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Ici, vous pouvez inclure les éléments existants, utiles à la réalisation : versions précédentes, maquettes, documents de présentation, nom de domaine, etc.</w:t>
      </w: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p7p37zcbrysc" w:id="11"/>
      <w:bookmarkEnd w:id="11"/>
      <w:r w:rsidDel="00000000" w:rsidR="00000000" w:rsidRPr="00000000">
        <w:rPr>
          <w:rtl w:val="0"/>
        </w:rPr>
        <w:t xml:space="preserve">3. Cible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Décrivez votre persona marketing, à savoir le profil type fictif de votre client idéal, avec un maximum d’informations.</w:t>
      </w: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>
          <w:rFonts w:ascii="Poppins" w:cs="Poppins" w:eastAsia="Poppins" w:hAnsi="Poppins"/>
        </w:rPr>
      </w:pPr>
      <w:bookmarkStart w:colFirst="0" w:colLast="0" w:name="_s75lunn0gdi0" w:id="12"/>
      <w:bookmarkEnd w:id="12"/>
      <w:r w:rsidDel="00000000" w:rsidR="00000000" w:rsidRPr="00000000">
        <w:rPr>
          <w:rtl w:val="0"/>
        </w:rPr>
        <w:t xml:space="preserve">4. Concurrence</w:t>
      </w:r>
      <w:r w:rsidDel="00000000" w:rsidR="00000000" w:rsidRPr="00000000">
        <w:rPr>
          <w:rtl w:val="0"/>
        </w:rPr>
      </w:r>
    </w:p>
    <w:tbl>
      <w:tblPr>
        <w:tblStyle w:val="Table7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obdiq2ngjnrv" w:id="13"/>
      <w:bookmarkEnd w:id="13"/>
      <w:r w:rsidDel="00000000" w:rsidR="00000000" w:rsidRPr="00000000">
        <w:rPr>
          <w:rtl w:val="0"/>
        </w:rPr>
        <w:t xml:space="preserve">5. Charte graphique et ergonomique</w:t>
      </w:r>
    </w:p>
    <w:p w:rsidR="00000000" w:rsidDel="00000000" w:rsidP="00000000" w:rsidRDefault="00000000" w:rsidRPr="00000000" w14:paraId="0000004A">
      <w:pPr>
        <w:pStyle w:val="Heading3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</w:rPr>
      </w:pPr>
      <w:bookmarkStart w:colFirst="0" w:colLast="0" w:name="_xcnovjm1hpc5" w:id="14"/>
      <w:bookmarkEnd w:id="14"/>
      <w:r w:rsidDel="00000000" w:rsidR="00000000" w:rsidRPr="00000000">
        <w:rPr>
          <w:rtl w:val="0"/>
        </w:rPr>
        <w:t xml:space="preserve">Logo(s) :</w:t>
      </w: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Style w:val="Heading3"/>
        <w:ind w:left="0" w:firstLine="0"/>
        <w:rPr/>
      </w:pPr>
      <w:bookmarkStart w:colFirst="0" w:colLast="0" w:name="_qzgf7mtidjp4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ind w:left="720"/>
        <w:rPr>
          <w:rFonts w:ascii="Poppins" w:cs="Poppins" w:eastAsia="Poppins" w:hAnsi="Poppins"/>
        </w:rPr>
      </w:pPr>
      <w:bookmarkStart w:colFirst="0" w:colLast="0" w:name="_nj9uhaz86fq5" w:id="16"/>
      <w:bookmarkEnd w:id="16"/>
      <w:r w:rsidDel="00000000" w:rsidR="00000000" w:rsidRPr="00000000">
        <w:rPr>
          <w:rtl w:val="0"/>
        </w:rPr>
        <w:t xml:space="preserve">Typographie :</w:t>
      </w:r>
      <w:r w:rsidDel="00000000" w:rsidR="00000000" w:rsidRPr="00000000">
        <w:rPr>
          <w:rtl w:val="0"/>
        </w:rPr>
      </w:r>
    </w:p>
    <w:tbl>
      <w:tblPr>
        <w:tblStyle w:val="Table9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rPr>
          <w:rFonts w:ascii="Poppins" w:cs="Poppins" w:eastAsia="Poppins" w:hAnsi="Poppins"/>
        </w:rPr>
      </w:pPr>
      <w:bookmarkStart w:colFirst="0" w:colLast="0" w:name="_7mzu6q1118sg" w:id="17"/>
      <w:bookmarkEnd w:id="17"/>
      <w:r w:rsidDel="00000000" w:rsidR="00000000" w:rsidRPr="00000000">
        <w:rPr>
          <w:rtl w:val="0"/>
        </w:rPr>
        <w:t xml:space="preserve">Couleurs :</w:t>
      </w:r>
      <w:r w:rsidDel="00000000" w:rsidR="00000000" w:rsidRPr="00000000">
        <w:rPr>
          <w:rtl w:val="0"/>
        </w:rPr>
      </w:r>
    </w:p>
    <w:tbl>
      <w:tblPr>
        <w:tblStyle w:val="Table10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rPr>
          <w:rFonts w:ascii="Poppins" w:cs="Poppins" w:eastAsia="Poppins" w:hAnsi="Poppins"/>
        </w:rPr>
      </w:pPr>
      <w:bookmarkStart w:colFirst="0" w:colLast="0" w:name="_ouz2gkn3lwhm" w:id="18"/>
      <w:bookmarkEnd w:id="18"/>
      <w:r w:rsidDel="00000000" w:rsidR="00000000" w:rsidRPr="00000000">
        <w:rPr>
          <w:rtl w:val="0"/>
        </w:rPr>
        <w:t xml:space="preserve">Pictogrammes :</w:t>
      </w:r>
      <w:r w:rsidDel="00000000" w:rsidR="00000000" w:rsidRPr="00000000">
        <w:rPr>
          <w:rtl w:val="0"/>
        </w:rPr>
      </w:r>
    </w:p>
    <w:tbl>
      <w:tblPr>
        <w:tblStyle w:val="Table1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3"/>
        <w:ind w:left="0" w:firstLine="0"/>
        <w:rPr/>
      </w:pPr>
      <w:bookmarkStart w:colFirst="0" w:colLast="0" w:name="_br01wwuy3d33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ind w:left="720"/>
        <w:rPr>
          <w:rFonts w:ascii="Poppins" w:cs="Poppins" w:eastAsia="Poppins" w:hAnsi="Poppins"/>
        </w:rPr>
      </w:pPr>
      <w:bookmarkStart w:colFirst="0" w:colLast="0" w:name="_1p24t4f3nrrb" w:id="20"/>
      <w:bookmarkEnd w:id="20"/>
      <w:r w:rsidDel="00000000" w:rsidR="00000000" w:rsidRPr="00000000">
        <w:rPr>
          <w:rtl w:val="0"/>
        </w:rPr>
        <w:t xml:space="preserve">Autres éléments graphiques :</w:t>
      </w:r>
      <w:r w:rsidDel="00000000" w:rsidR="00000000" w:rsidRPr="00000000">
        <w:rPr>
          <w:rtl w:val="0"/>
        </w:rPr>
      </w:r>
    </w:p>
    <w:tbl>
      <w:tblPr>
        <w:tblStyle w:val="Table1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300" w:before="300" w:line="377.14285714285717" w:lineRule="auto"/>
        <w:ind w:left="0" w:firstLine="0"/>
        <w:jc w:val="left"/>
        <w:rPr>
          <w:rFonts w:ascii="Poppins" w:cs="Poppins" w:eastAsia="Poppins" w:hAnsi="Poppins"/>
          <w:color w:val="5f6c72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9b852ypjfyhl" w:id="21"/>
      <w:bookmarkEnd w:id="21"/>
      <w:r w:rsidDel="00000000" w:rsidR="00000000" w:rsidRPr="00000000">
        <w:rPr>
          <w:rtl w:val="0"/>
        </w:rPr>
        <w:t xml:space="preserve">6. Enveloppe budgétaire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Donner une estimation du budget global permet d’aiguiller les potentiels prestataires pour la réalisation de leurs devis.</w:t>
      </w:r>
      <w:r w:rsidDel="00000000" w:rsidR="00000000" w:rsidRPr="00000000">
        <w:rPr>
          <w:rtl w:val="0"/>
        </w:rPr>
      </w:r>
    </w:p>
    <w:tbl>
      <w:tblPr>
        <w:tblStyle w:val="Table1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igpiubq89nq8" w:id="22"/>
      <w:bookmarkEnd w:id="22"/>
      <w:r w:rsidDel="00000000" w:rsidR="00000000" w:rsidRPr="00000000">
        <w:rPr>
          <w:rtl w:val="0"/>
        </w:rPr>
        <w:t xml:space="preserve">7. Délais de réalisation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Déterminez la date butoir à laquelle le projet doit être lancé.</w:t>
      </w:r>
      <w:r w:rsidDel="00000000" w:rsidR="00000000" w:rsidRPr="00000000">
        <w:rPr>
          <w:rtl w:val="0"/>
        </w:rPr>
      </w:r>
    </w:p>
    <w:tbl>
      <w:tblPr>
        <w:tblStyle w:val="Table1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3t3wn2dlltzm" w:id="23"/>
      <w:bookmarkEnd w:id="23"/>
      <w:r w:rsidDel="00000000" w:rsidR="00000000" w:rsidRPr="00000000">
        <w:rPr>
          <w:rtl w:val="0"/>
        </w:rPr>
        <w:t xml:space="preserve">8. Spécifications fonctionnelles</w:t>
      </w:r>
    </w:p>
    <w:p w:rsidR="00000000" w:rsidDel="00000000" w:rsidP="00000000" w:rsidRDefault="00000000" w:rsidRPr="00000000" w14:paraId="0000006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  <w:i w:val="1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La partie fonctionnelle du cahier des charges vise à traduire les besoins en fonctionnalités. Ajoutez un lien vers les spécifications techniques complètes.</w:t>
      </w:r>
    </w:p>
    <w:p w:rsidR="00000000" w:rsidDel="00000000" w:rsidP="00000000" w:rsidRDefault="00000000" w:rsidRPr="00000000" w14:paraId="0000006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lazt0qftjsu2" w:id="24"/>
      <w:bookmarkEnd w:id="24"/>
      <w:r w:rsidDel="00000000" w:rsidR="00000000" w:rsidRPr="00000000">
        <w:rPr>
          <w:rtl w:val="0"/>
        </w:rPr>
        <w:t xml:space="preserve">9. Spécifications techniques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  <w:i w:val="1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La partie technique du cahier des charges consiste à décrire comment les fonctionnalités, qui répondent au besoin exprimé, vont être réalisées. Ajoutez un lien vers les spécifications techniques complètes.</w:t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720" w:line="276" w:lineRule="auto"/>
        <w:ind w:left="0" w:firstLine="0"/>
        <w:jc w:val="left"/>
        <w:rPr/>
      </w:pPr>
      <w:bookmarkStart w:colFirst="0" w:colLast="0" w:name="_h23ttds8kxom" w:id="25"/>
      <w:bookmarkEnd w:id="25"/>
      <w:r w:rsidDel="00000000" w:rsidR="00000000" w:rsidRPr="00000000">
        <w:rPr>
          <w:rtl w:val="0"/>
        </w:rPr>
        <w:t xml:space="preserve">10. Annexes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520" w:line="377.14285714285717" w:lineRule="auto"/>
        <w:jc w:val="left"/>
        <w:rPr>
          <w:rFonts w:ascii="Poppins" w:cs="Poppins" w:eastAsia="Poppins" w:hAnsi="Poppins"/>
          <w:i w:val="1"/>
          <w:color w:val="5f6c72"/>
          <w:sz w:val="21"/>
          <w:szCs w:val="21"/>
        </w:rPr>
      </w:pPr>
      <w:r w:rsidDel="00000000" w:rsidR="00000000" w:rsidRPr="00000000">
        <w:rPr>
          <w:rFonts w:ascii="Poppins" w:cs="Poppins" w:eastAsia="Poppins" w:hAnsi="Poppins"/>
          <w:i w:val="1"/>
          <w:rtl w:val="0"/>
        </w:rPr>
        <w:t xml:space="preserve">Mettez ici tous les documents utiles à la réflexion ou à la réalisation du projet, comme des wireframes, des maquettes, des mock-up, des ébauches,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360" w:lineRule="auto"/>
              <w:ind w:left="72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operations/gestion-de-projet/cahier-des-charge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