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Attestation d’entretien de climatisation </w:t>
      </w:r>
    </w:p>
    <w:p w:rsidR="00000000" w:rsidDel="00000000" w:rsidP="00000000" w:rsidRDefault="00000000" w:rsidRPr="00000000" w14:paraId="00000004">
      <w:pPr>
        <w:pageBreakBefore w:val="0"/>
        <w:spacing w:after="0" w:before="0" w:line="24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0</wp:posOffset>
                </wp:positionV>
                <wp:extent cx="463125" cy="9094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70200" y="3755250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0</wp:posOffset>
                </wp:positionV>
                <wp:extent cx="463125" cy="90940"/>
                <wp:effectExtent b="0" l="0" r="0" t="0"/>
                <wp:wrapTopAndBottom distB="0" distT="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3125" cy="909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Pour vous aider à établir vos attestations d’entretien de climatisation, appvizer met à votre disposition un modèle. À vous de le compléter avec les informations concernant votre intervention !</w:t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  <w:u w:val="singl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360" w:lineRule="auto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Conformément à l’arrêté du 24 juillet 2020 relatif à l’entretien des systèmes thermodynamiques dont la puissance nominale est comprise entre 4 kW et 70 kW.</w:t>
      </w:r>
      <w:r w:rsidDel="00000000" w:rsidR="00000000" w:rsidRPr="00000000">
        <w:rPr>
          <w:rtl w:val="0"/>
        </w:rPr>
      </w:r>
    </w:p>
    <w:tbl>
      <w:tblPr>
        <w:tblStyle w:val="Table1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20"/>
        <w:gridCol w:w="4820"/>
        <w:tblGridChange w:id="0">
          <w:tblGrid>
            <w:gridCol w:w="4820"/>
            <w:gridCol w:w="48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Repère 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Date :</w:t>
            </w:r>
          </w:p>
        </w:tc>
      </w:tr>
    </w:tbl>
    <w:p w:rsidR="00000000" w:rsidDel="00000000" w:rsidP="00000000" w:rsidRDefault="00000000" w:rsidRPr="00000000" w14:paraId="0000000C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20"/>
        <w:gridCol w:w="4820"/>
        <w:tblGridChange w:id="0">
          <w:tblGrid>
            <w:gridCol w:w="4820"/>
            <w:gridCol w:w="48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12295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ffffff"/>
                <w:sz w:val="24"/>
                <w:szCs w:val="24"/>
                <w:rtl w:val="0"/>
              </w:rPr>
              <w:t xml:space="preserve">Coordonnées de l’entreprise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Établissement :</w:t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Contact 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Adresse 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Code postal :</w:t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Ville 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Tél :</w:t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E-mail :</w:t>
            </w:r>
          </w:p>
        </w:tc>
      </w:tr>
    </w:tbl>
    <w:p w:rsidR="00000000" w:rsidDel="00000000" w:rsidP="00000000" w:rsidRDefault="00000000" w:rsidRPr="00000000" w14:paraId="00000019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20"/>
        <w:gridCol w:w="4820"/>
        <w:tblGridChange w:id="0">
          <w:tblGrid>
            <w:gridCol w:w="4820"/>
            <w:gridCol w:w="48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12295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ffffff"/>
                <w:sz w:val="24"/>
                <w:szCs w:val="24"/>
                <w:rtl w:val="0"/>
              </w:rPr>
              <w:t xml:space="preserve">Coordonnées du commanditaire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Nom : </w:t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N° client 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Adresse 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Code postal :</w:t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Ville :</w:t>
            </w:r>
          </w:p>
        </w:tc>
      </w:tr>
    </w:tbl>
    <w:p w:rsidR="00000000" w:rsidDel="00000000" w:rsidP="00000000" w:rsidRDefault="00000000" w:rsidRPr="00000000" w14:paraId="00000024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20"/>
        <w:gridCol w:w="4820"/>
        <w:tblGridChange w:id="0">
          <w:tblGrid>
            <w:gridCol w:w="4820"/>
            <w:gridCol w:w="48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12295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ffffff"/>
                <w:sz w:val="24"/>
                <w:szCs w:val="24"/>
                <w:rtl w:val="0"/>
              </w:rPr>
              <w:t xml:space="preserve">Adresse de l’installation si différente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Nom : </w:t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N° client 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Adresse 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Code postal :</w:t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Ville :</w:t>
            </w:r>
          </w:p>
        </w:tc>
      </w:tr>
    </w:tbl>
    <w:p w:rsidR="00000000" w:rsidDel="00000000" w:rsidP="00000000" w:rsidRDefault="00000000" w:rsidRPr="00000000" w14:paraId="0000002F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40.000000000002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3.333333333334"/>
        <w:gridCol w:w="3213.333333333334"/>
        <w:gridCol w:w="3213.333333333334"/>
        <w:tblGridChange w:id="0">
          <w:tblGrid>
            <w:gridCol w:w="3213.333333333334"/>
            <w:gridCol w:w="3213.333333333334"/>
            <w:gridCol w:w="3213.33333333333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12295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ffffff"/>
                <w:sz w:val="24"/>
                <w:szCs w:val="24"/>
                <w:rtl w:val="0"/>
              </w:rPr>
              <w:t xml:space="preserve">Pompe à chaleur</w:t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12295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ffffff"/>
                <w:sz w:val="24"/>
                <w:szCs w:val="24"/>
                <w:rtl w:val="0"/>
              </w:rPr>
              <w:t xml:space="preserve"> Groupe extérieur </w:t>
            </w:r>
          </w:p>
        </w:tc>
        <w:tc>
          <w:tcPr>
            <w:tcBorders>
              <w:top w:color="122959" w:space="0" w:sz="8" w:val="single"/>
              <w:left w:color="122959" w:space="0" w:sz="8" w:val="single"/>
              <w:bottom w:color="122959" w:space="0" w:sz="8" w:val="single"/>
              <w:right w:color="122959" w:space="0" w:sz="8" w:val="single"/>
            </w:tcBorders>
            <w:shd w:fill="12295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ffffff"/>
                <w:sz w:val="24"/>
                <w:szCs w:val="24"/>
                <w:rtl w:val="0"/>
              </w:rPr>
              <w:t xml:space="preserve">Unité intérieure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Marque</w:t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2295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Type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N° de série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Date de mise en 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Puissance chaud/ froid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Fluide frigorigène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Date de la 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rtl w:val="0"/>
              </w:rPr>
              <w:t xml:space="preserve">dernière prestation d’entretien </w:t>
            </w: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(si disponible):</w:t>
            </w:r>
          </w:p>
        </w:tc>
      </w:tr>
    </w:tbl>
    <w:p w:rsidR="00000000" w:rsidDel="00000000" w:rsidP="00000000" w:rsidRDefault="00000000" w:rsidRPr="00000000" w14:paraId="00000047">
      <w:pPr>
        <w:pStyle w:val="Heading1"/>
        <w:jc w:val="center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POINTS DE CONTRÔLE DE L’ENTRETIEN</w:t>
      </w:r>
    </w:p>
    <w:p w:rsidR="00000000" w:rsidDel="00000000" w:rsidP="00000000" w:rsidRDefault="00000000" w:rsidRPr="00000000" w14:paraId="00000048">
      <w:pPr>
        <w:pStyle w:val="Heading2"/>
        <w:ind w:left="0" w:firstLine="0"/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Générateur thermodynamique de chaleur ou de froid</w:t>
      </w:r>
    </w:p>
    <w:p w:rsidR="00000000" w:rsidDel="00000000" w:rsidP="00000000" w:rsidRDefault="00000000" w:rsidRPr="00000000" w14:paraId="00000049">
      <w:pPr>
        <w:pStyle w:val="Heading3"/>
        <w:spacing w:line="360" w:lineRule="auto"/>
        <w:ind w:left="0" w:firstLine="0"/>
        <w:jc w:val="left"/>
        <w:rPr>
          <w:sz w:val="22"/>
          <w:szCs w:val="22"/>
        </w:rPr>
      </w:pPr>
      <w:bookmarkStart w:colFirst="0" w:colLast="0" w:name="_heading=h.1fob9te" w:id="2"/>
      <w:bookmarkEnd w:id="2"/>
      <w:r w:rsidDel="00000000" w:rsidR="00000000" w:rsidRPr="00000000">
        <w:rPr>
          <w:sz w:val="22"/>
          <w:szCs w:val="22"/>
          <w:rtl w:val="0"/>
        </w:rPr>
        <w:t xml:space="preserve">1. Pour tous les systèmes thermodynamiques</w:t>
      </w:r>
    </w:p>
    <w:p w:rsidR="00000000" w:rsidDel="00000000" w:rsidP="00000000" w:rsidRDefault="00000000" w:rsidRPr="00000000" w14:paraId="0000004A">
      <w:pPr>
        <w:numPr>
          <w:ilvl w:val="0"/>
          <w:numId w:val="9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18"/>
          <w:szCs w:val="18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18"/>
          <w:szCs w:val="18"/>
          <w:rtl w:val="0"/>
        </w:rPr>
        <w:t xml:space="preserve">Relevé des températures de l'unité intérieure et de l'unité extérieure et vérification du bon fonctionnement</w:t>
      </w:r>
    </w:p>
    <w:p w:rsidR="00000000" w:rsidDel="00000000" w:rsidP="00000000" w:rsidRDefault="00000000" w:rsidRPr="00000000" w14:paraId="0000004B">
      <w:pPr>
        <w:numPr>
          <w:ilvl w:val="0"/>
          <w:numId w:val="9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18"/>
          <w:szCs w:val="18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18"/>
          <w:szCs w:val="18"/>
          <w:rtl w:val="0"/>
        </w:rPr>
        <w:t xml:space="preserve">Vérification du fonctionnement de l'inversion de cycle lorsque c'est possible</w:t>
      </w:r>
    </w:p>
    <w:p w:rsidR="00000000" w:rsidDel="00000000" w:rsidP="00000000" w:rsidRDefault="00000000" w:rsidRPr="00000000" w14:paraId="0000004C">
      <w:pPr>
        <w:numPr>
          <w:ilvl w:val="0"/>
          <w:numId w:val="9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18"/>
          <w:szCs w:val="18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18"/>
          <w:szCs w:val="18"/>
          <w:rtl w:val="0"/>
        </w:rPr>
        <w:t xml:space="preserve">Vérification de l'enclenchement des appoints</w:t>
      </w:r>
    </w:p>
    <w:p w:rsidR="00000000" w:rsidDel="00000000" w:rsidP="00000000" w:rsidRDefault="00000000" w:rsidRPr="00000000" w14:paraId="0000004D">
      <w:pPr>
        <w:numPr>
          <w:ilvl w:val="0"/>
          <w:numId w:val="9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18"/>
          <w:szCs w:val="18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18"/>
          <w:szCs w:val="18"/>
          <w:rtl w:val="0"/>
        </w:rPr>
        <w:t xml:space="preserve">Mesure des tensions électriques statiques et dynamiques</w:t>
      </w:r>
    </w:p>
    <w:p w:rsidR="00000000" w:rsidDel="00000000" w:rsidP="00000000" w:rsidRDefault="00000000" w:rsidRPr="00000000" w14:paraId="0000004E">
      <w:pPr>
        <w:numPr>
          <w:ilvl w:val="0"/>
          <w:numId w:val="9"/>
        </w:numPr>
        <w:spacing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18"/>
          <w:szCs w:val="18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18"/>
          <w:szCs w:val="18"/>
          <w:rtl w:val="0"/>
        </w:rPr>
        <w:t xml:space="preserve">Contrôle d’étanchéité selon réglementation en vigueur</w:t>
      </w:r>
    </w:p>
    <w:p w:rsidR="00000000" w:rsidDel="00000000" w:rsidP="00000000" w:rsidRDefault="00000000" w:rsidRPr="00000000" w14:paraId="0000004F">
      <w:pPr>
        <w:pStyle w:val="Heading3"/>
        <w:spacing w:line="360" w:lineRule="auto"/>
        <w:ind w:left="0" w:firstLine="0"/>
        <w:jc w:val="left"/>
        <w:rPr>
          <w:sz w:val="22"/>
          <w:szCs w:val="22"/>
        </w:rPr>
      </w:pPr>
      <w:bookmarkStart w:colFirst="0" w:colLast="0" w:name="_heading=h.3znysh7" w:id="3"/>
      <w:bookmarkEnd w:id="3"/>
      <w:r w:rsidDel="00000000" w:rsidR="00000000" w:rsidRPr="00000000">
        <w:rPr>
          <w:sz w:val="22"/>
          <w:szCs w:val="22"/>
          <w:rtl w:val="0"/>
        </w:rPr>
        <w:t xml:space="preserve">2. Pour les systèmes aérothermiques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18"/>
          <w:szCs w:val="18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18"/>
          <w:szCs w:val="18"/>
          <w:rtl w:val="0"/>
        </w:rPr>
        <w:t xml:space="preserve">Vérification de l’échangeur de l’unité extérieure et nettoyage si nécessaire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spacing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18"/>
          <w:szCs w:val="18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18"/>
          <w:szCs w:val="18"/>
          <w:rtl w:val="0"/>
        </w:rPr>
        <w:t xml:space="preserve">Nettoyage de l’unité intérieure et décrassage du filtre</w:t>
      </w:r>
    </w:p>
    <w:p w:rsidR="00000000" w:rsidDel="00000000" w:rsidP="00000000" w:rsidRDefault="00000000" w:rsidRPr="00000000" w14:paraId="00000052">
      <w:pPr>
        <w:pStyle w:val="Heading2"/>
        <w:ind w:left="0" w:firstLine="0"/>
        <w:rPr/>
      </w:pPr>
      <w:bookmarkStart w:colFirst="0" w:colLast="0" w:name="_heading=h.2et92p0" w:id="4"/>
      <w:bookmarkEnd w:id="4"/>
      <w:r w:rsidDel="00000000" w:rsidR="00000000" w:rsidRPr="00000000">
        <w:rPr>
          <w:rtl w:val="0"/>
        </w:rPr>
        <w:t xml:space="preserve">Système de distribution</w:t>
      </w:r>
    </w:p>
    <w:p w:rsidR="00000000" w:rsidDel="00000000" w:rsidP="00000000" w:rsidRDefault="00000000" w:rsidRPr="00000000" w14:paraId="00000053">
      <w:pPr>
        <w:pStyle w:val="Heading3"/>
        <w:spacing w:line="360" w:lineRule="auto"/>
        <w:ind w:left="0" w:firstLine="0"/>
        <w:jc w:val="left"/>
        <w:rPr>
          <w:sz w:val="22"/>
          <w:szCs w:val="22"/>
        </w:rPr>
      </w:pPr>
      <w:bookmarkStart w:colFirst="0" w:colLast="0" w:name="_heading=h.tyjcwt" w:id="5"/>
      <w:bookmarkEnd w:id="5"/>
      <w:r w:rsidDel="00000000" w:rsidR="00000000" w:rsidRPr="00000000">
        <w:rPr>
          <w:sz w:val="22"/>
          <w:szCs w:val="22"/>
          <w:rtl w:val="0"/>
        </w:rPr>
        <w:t xml:space="preserve">3. Pour les systèmes de distribution par boucle d’eau</w:t>
      </w:r>
    </w:p>
    <w:p w:rsidR="00000000" w:rsidDel="00000000" w:rsidP="00000000" w:rsidRDefault="00000000" w:rsidRPr="00000000" w14:paraId="00000054">
      <w:pPr>
        <w:numPr>
          <w:ilvl w:val="0"/>
          <w:numId w:val="7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18"/>
          <w:szCs w:val="18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18"/>
          <w:szCs w:val="18"/>
          <w:rtl w:val="0"/>
        </w:rPr>
        <w:t xml:space="preserve">Contrôle de la pression de gonflage des vases d’expansion avec regonflage si nécessaire</w:t>
      </w:r>
    </w:p>
    <w:p w:rsidR="00000000" w:rsidDel="00000000" w:rsidP="00000000" w:rsidRDefault="00000000" w:rsidRPr="00000000" w14:paraId="00000055">
      <w:pPr>
        <w:numPr>
          <w:ilvl w:val="0"/>
          <w:numId w:val="7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18"/>
          <w:szCs w:val="18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18"/>
          <w:szCs w:val="18"/>
          <w:rtl w:val="0"/>
        </w:rPr>
        <w:t xml:space="preserve">Vérification et nettoyage du filtre sur la boucle d’eau si nécessaire</w:t>
      </w:r>
    </w:p>
    <w:p w:rsidR="00000000" w:rsidDel="00000000" w:rsidP="00000000" w:rsidRDefault="00000000" w:rsidRPr="00000000" w14:paraId="00000056">
      <w:pPr>
        <w:numPr>
          <w:ilvl w:val="0"/>
          <w:numId w:val="7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18"/>
          <w:szCs w:val="18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18"/>
          <w:szCs w:val="18"/>
          <w:rtl w:val="0"/>
        </w:rPr>
        <w:t xml:space="preserve">Contrôle de l’embouement lié au phénomène d’hydrolyse</w:t>
      </w:r>
    </w:p>
    <w:p w:rsidR="00000000" w:rsidDel="00000000" w:rsidP="00000000" w:rsidRDefault="00000000" w:rsidRPr="00000000" w14:paraId="00000057">
      <w:pPr>
        <w:numPr>
          <w:ilvl w:val="0"/>
          <w:numId w:val="7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18"/>
          <w:szCs w:val="18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18"/>
          <w:szCs w:val="18"/>
          <w:rtl w:val="0"/>
        </w:rPr>
        <w:t xml:space="preserve">Contrôle de la pression</w:t>
      </w:r>
    </w:p>
    <w:p w:rsidR="00000000" w:rsidDel="00000000" w:rsidP="00000000" w:rsidRDefault="00000000" w:rsidRPr="00000000" w14:paraId="00000058">
      <w:pPr>
        <w:numPr>
          <w:ilvl w:val="0"/>
          <w:numId w:val="7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18"/>
          <w:szCs w:val="18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18"/>
          <w:szCs w:val="18"/>
          <w:rtl w:val="0"/>
        </w:rPr>
        <w:t xml:space="preserve">Purge des bulles d’air du circuit lorsque le purgeur est fonctionnel et accessible</w:t>
      </w:r>
    </w:p>
    <w:p w:rsidR="00000000" w:rsidDel="00000000" w:rsidP="00000000" w:rsidRDefault="00000000" w:rsidRPr="00000000" w14:paraId="00000059">
      <w:pPr>
        <w:numPr>
          <w:ilvl w:val="0"/>
          <w:numId w:val="7"/>
        </w:numPr>
        <w:spacing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18"/>
          <w:szCs w:val="18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18"/>
          <w:szCs w:val="18"/>
          <w:rtl w:val="0"/>
        </w:rPr>
        <w:t xml:space="preserve">Vérification du fonctionnement des circulateurs</w:t>
      </w:r>
    </w:p>
    <w:p w:rsidR="00000000" w:rsidDel="00000000" w:rsidP="00000000" w:rsidRDefault="00000000" w:rsidRPr="00000000" w14:paraId="0000005A">
      <w:pPr>
        <w:pStyle w:val="Heading3"/>
        <w:spacing w:line="360" w:lineRule="auto"/>
        <w:ind w:left="0" w:firstLine="0"/>
        <w:jc w:val="left"/>
        <w:rPr>
          <w:sz w:val="22"/>
          <w:szCs w:val="22"/>
        </w:rPr>
      </w:pPr>
      <w:bookmarkStart w:colFirst="0" w:colLast="0" w:name="_heading=h.3dy6vkm" w:id="6"/>
      <w:bookmarkEnd w:id="6"/>
      <w:r w:rsidDel="00000000" w:rsidR="00000000" w:rsidRPr="00000000">
        <w:rPr>
          <w:sz w:val="22"/>
          <w:szCs w:val="22"/>
          <w:rtl w:val="0"/>
        </w:rPr>
        <w:t xml:space="preserve">4. Pour les systèmes de distribution par vecteur air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18"/>
          <w:szCs w:val="18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18"/>
          <w:szCs w:val="18"/>
          <w:rtl w:val="0"/>
        </w:rPr>
        <w:t xml:space="preserve">Vérification de l’état des gaines accessibles</w:t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18"/>
          <w:szCs w:val="18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18"/>
          <w:szCs w:val="18"/>
          <w:rtl w:val="0"/>
        </w:rPr>
        <w:t xml:space="preserve">Vérification et nettoyage avec désinfection si nécessaire de l’unité intérieure et du filtre</w:t>
      </w:r>
    </w:p>
    <w:p w:rsidR="00000000" w:rsidDel="00000000" w:rsidP="00000000" w:rsidRDefault="00000000" w:rsidRPr="00000000" w14:paraId="0000005D">
      <w:pPr>
        <w:numPr>
          <w:ilvl w:val="0"/>
          <w:numId w:val="6"/>
        </w:numPr>
        <w:spacing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18"/>
          <w:szCs w:val="18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18"/>
          <w:szCs w:val="18"/>
          <w:rtl w:val="0"/>
        </w:rPr>
        <w:t xml:space="preserve">Vérification du fonctionnement du ventilateur</w:t>
      </w:r>
    </w:p>
    <w:p w:rsidR="00000000" w:rsidDel="00000000" w:rsidP="00000000" w:rsidRDefault="00000000" w:rsidRPr="00000000" w14:paraId="0000005E">
      <w:pPr>
        <w:pStyle w:val="Heading1"/>
        <w:jc w:val="center"/>
        <w:rPr/>
      </w:pPr>
      <w:bookmarkStart w:colFirst="0" w:colLast="0" w:name="_heading=h.1t3h5sf" w:id="7"/>
      <w:bookmarkEnd w:id="7"/>
      <w:r w:rsidDel="00000000" w:rsidR="00000000" w:rsidRPr="00000000">
        <w:rPr>
          <w:rtl w:val="0"/>
        </w:rPr>
        <w:t xml:space="preserve">RELEVÉ ET RÉSULTAT DES MESURES </w:t>
      </w:r>
    </w:p>
    <w:tbl>
      <w:tblPr>
        <w:tblStyle w:val="Table7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20"/>
        <w:gridCol w:w="4820"/>
        <w:tblGridChange w:id="0">
          <w:tblGrid>
            <w:gridCol w:w="4820"/>
            <w:gridCol w:w="48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Tension électrique statique 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Tension électrique statique 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Températures de l’unité extérieure 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Tension électrique dynamique 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Marque et référence des appareils de mesure utilisés 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Défauts de fonctionnement constatés sur le système thermodynamique :</w:t>
            </w:r>
          </w:p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Actions effectuées pour remédier à ces défauts :</w:t>
            </w:r>
          </w:p>
        </w:tc>
      </w:tr>
    </w:tbl>
    <w:p w:rsidR="00000000" w:rsidDel="00000000" w:rsidP="00000000" w:rsidRDefault="00000000" w:rsidRPr="00000000" w14:paraId="0000006A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1"/>
        <w:spacing w:line="360" w:lineRule="auto"/>
        <w:jc w:val="center"/>
        <w:rPr/>
      </w:pPr>
      <w:bookmarkStart w:colFirst="0" w:colLast="0" w:name="_heading=h.4d34og8" w:id="8"/>
      <w:bookmarkEnd w:id="8"/>
      <w:r w:rsidDel="00000000" w:rsidR="00000000" w:rsidRPr="00000000">
        <w:rPr>
          <w:rtl w:val="0"/>
        </w:rPr>
        <w:t xml:space="preserve">Le bon usage</w:t>
      </w:r>
    </w:p>
    <w:p w:rsidR="00000000" w:rsidDel="00000000" w:rsidP="00000000" w:rsidRDefault="00000000" w:rsidRPr="00000000" w14:paraId="0000006C">
      <w:pPr>
        <w:pStyle w:val="Heading2"/>
        <w:spacing w:line="360" w:lineRule="auto"/>
        <w:ind w:left="0" w:firstLine="0"/>
        <w:jc w:val="left"/>
        <w:rPr/>
      </w:pPr>
      <w:bookmarkStart w:colFirst="0" w:colLast="0" w:name="_heading=h.2s8eyo1" w:id="9"/>
      <w:bookmarkEnd w:id="9"/>
      <w:r w:rsidDel="00000000" w:rsidR="00000000" w:rsidRPr="00000000">
        <w:rPr>
          <w:rtl w:val="0"/>
        </w:rPr>
        <w:t xml:space="preserve">Le système thermodynamique et le fluide frigorigène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Ne pas nettoyer la pompe à chaleur à l’aide d’un jet haute pression au risque d’endommager les circuits.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Assurez-vous que l’air circule correctement autour de la pompe à chaleur ; aucun obstacle ne doit gêner son fonctionnement (feuilles d’arbres, pollen, objets encombrants, etc.).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 En fonctionnement, de l’eau peut s’évacuer de l’appareil situé à l’extérieur lors des cycles de dégivrage; l’hiver, assurez-vous que l’évacuation de cette eau soit toujours possible; si l’installation est réalisée dans une région où la température peut être inférieure à 0 °C pendant une longue période, vérifier que la présence de glace au sol ne présente aucun danger. Lors des cycles de dégivrage, un dégagement de vapeur est courant: ce phénomène est normal et non dangereux.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Assurez-vous du bon fonctionnement des piles (ou accumulateurs) de vos appareils d’ambiance; il est recommandé de procéder à leur vérification annuellement.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Assurez-vous qu’aucune alarme ne soit présente sur le tableau de bord de la pompe à chaleur.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En cas d’absence prolongée, il est indispensable de mettre le système de chauffage en mode « hors gel » afin d’éviter une détérioration de l’installation. Chaque système est muni de ce type de réglage. En aucun cas l’installation doit être mise hors tension.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Il est recommandé de passer voir régulièrement si l’électricité n’est pas coupée.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spacing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Assurez-vous que les canalisations de fluide frigorigène sont bien isolées sur tout leur cheminement.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2"/>
        <w:spacing w:line="360" w:lineRule="auto"/>
        <w:ind w:left="0" w:firstLine="0"/>
        <w:jc w:val="left"/>
        <w:rPr/>
      </w:pPr>
      <w:bookmarkStart w:colFirst="0" w:colLast="0" w:name="_heading=h.17dp8vu" w:id="10"/>
      <w:bookmarkEnd w:id="10"/>
      <w:r w:rsidDel="00000000" w:rsidR="00000000" w:rsidRPr="00000000">
        <w:rPr>
          <w:rtl w:val="0"/>
        </w:rPr>
        <w:t xml:space="preserve">Les systèmes de régulation et de température</w:t>
      </w:r>
    </w:p>
    <w:p w:rsidR="00000000" w:rsidDel="00000000" w:rsidP="00000000" w:rsidRDefault="00000000" w:rsidRPr="00000000" w14:paraId="00000076">
      <w:pPr>
        <w:numPr>
          <w:ilvl w:val="0"/>
          <w:numId w:val="8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Afin d’assurer une continuité dans le confort que peut vous apporter votre installation: avoir des consommations d’énergie sans dérive, ne pas modifier constamment les réglages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8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Si la pompe à chaleur est réversible, quand elle fonctionne en rafraîchissement, à partir d’un niveau de température, les émetteurs pourront produire par condensation une certaine quantité d’eau. Il est indispensable de ne pas modifier les réglages afin d’éviter la condensation.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8"/>
        </w:numPr>
        <w:spacing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Dans le cas d’une pompe à chaleur Air / Air, s’assurer que le fonctionnement choisi dans les pièces (unités intérieures) soit en cohérence avec le mode sélectionné (chauffage ou rafraîchissement).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2"/>
        <w:spacing w:line="360" w:lineRule="auto"/>
        <w:ind w:left="0" w:firstLine="0"/>
        <w:jc w:val="left"/>
        <w:rPr/>
      </w:pPr>
      <w:bookmarkStart w:colFirst="0" w:colLast="0" w:name="_heading=h.3rdcrjn" w:id="11"/>
      <w:bookmarkEnd w:id="11"/>
      <w:r w:rsidDel="00000000" w:rsidR="00000000" w:rsidRPr="00000000">
        <w:rPr>
          <w:rtl w:val="0"/>
        </w:rPr>
        <w:t xml:space="preserve">Le réseau de distribution</w:t>
      </w:r>
    </w:p>
    <w:p w:rsidR="00000000" w:rsidDel="00000000" w:rsidP="00000000" w:rsidRDefault="00000000" w:rsidRPr="00000000" w14:paraId="0000007A">
      <w:pPr>
        <w:numPr>
          <w:ilvl w:val="0"/>
          <w:numId w:val="2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Dans le cas d’une pompe à chaleur sur un circuit hydraulique, ne pas vider le liquide du circuit de chauffage, et contrôler régulièrement sa pression; dans le cas où l’eau du circuit comporte des additifs (antigel, anti-boue, …), si vous effectuez un complément, il conviendra de faire vérifier la concentration de ces additifs par un professionnel afin de s’assurer que les protections sont toujours efficaces.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2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Attention, si des apports fréquents d’eau sont nécessaires, il faut procéder à une recherche de fuite.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2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Afin de préserver la performance de votre installation, faites vérifier la concentration du traitement d’eau périodiquement.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2"/>
        </w:numPr>
        <w:spacing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 Assurez-vous que les canalisations en dehors du volume chauffé sont bien isolées sur tout leur cheminement.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spacing w:line="360" w:lineRule="auto"/>
        <w:ind w:left="0" w:firstLine="0"/>
        <w:jc w:val="left"/>
        <w:rPr/>
      </w:pPr>
      <w:bookmarkStart w:colFirst="0" w:colLast="0" w:name="_heading=h.26in1rg" w:id="12"/>
      <w:bookmarkEnd w:id="12"/>
      <w:r w:rsidDel="00000000" w:rsidR="00000000" w:rsidRPr="00000000">
        <w:rPr>
          <w:rtl w:val="0"/>
        </w:rPr>
        <w:t xml:space="preserve">Les émetteurs</w:t>
      </w:r>
    </w:p>
    <w:p w:rsidR="00000000" w:rsidDel="00000000" w:rsidP="00000000" w:rsidRDefault="00000000" w:rsidRPr="00000000" w14:paraId="0000007F">
      <w:pPr>
        <w:numPr>
          <w:ilvl w:val="0"/>
          <w:numId w:val="3"/>
        </w:numPr>
        <w:spacing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Si le logement dispose d’un plancher chauffant, afin d’exploiter correctement ce système de chauffage, il est recommandé que le revêtement de sol soit adapté à ce type d’émetteur.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spacing w:line="360" w:lineRule="auto"/>
        <w:ind w:left="0" w:firstLine="0"/>
        <w:jc w:val="left"/>
        <w:rPr/>
      </w:pPr>
      <w:bookmarkStart w:colFirst="0" w:colLast="0" w:name="_heading=h.lnxbz9" w:id="13"/>
      <w:bookmarkEnd w:id="13"/>
      <w:r w:rsidDel="00000000" w:rsidR="00000000" w:rsidRPr="00000000">
        <w:rPr>
          <w:rtl w:val="0"/>
        </w:rPr>
        <w:t xml:space="preserve">Gestes éco-citoyens et comportements à adopter</w:t>
      </w:r>
    </w:p>
    <w:p w:rsidR="00000000" w:rsidDel="00000000" w:rsidP="00000000" w:rsidRDefault="00000000" w:rsidRPr="00000000" w14:paraId="00000081">
      <w:pPr>
        <w:numPr>
          <w:ilvl w:val="0"/>
          <w:numId w:val="5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Le chauffage représente un gros pourcentage de consommation d'énergie dans l'habitat. Avoir le réflexe de baisser le chauffage, c'est réduire sa facture,économiser l'énergie, et diminuer ses émissions de gaz à effet de serre!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5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Il est primordial d’adapter la température de son logement au confort attendu 19°C à 20 °C dans votre salle de séjour et 18 °C dans la chambre sont des températures couramment rencontrées. Chaque degré supplémentaire augmente la consommation énergétique de l’ordre de 7 % (source Ademe).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5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Ayez le réflexe de baisser votre chauffage (mode réduit) lorsque vous aérez vos pièces (5 à 10 minutes par jour, même en hiver), ou que vous partez de chez vous. Penser à utiliser le mode « hors gel » (ou mode vacances) pour une absence prolongée. Le système de programmation de la pompe à chaleur pourra le gérer d’une manière automatique.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5"/>
        </w:numPr>
        <w:spacing w:after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Laissez entrer la lumière du jour et la chaleur du soleil. Fermez les volets et/ou tirez les rideaux la nuit.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5"/>
        </w:numPr>
        <w:spacing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Dans le cas d’une pompe à chaleur raccordée à un circuit de chauffage à eau chaude, utilisez le système de régulation intégré à votre PAC qui optimisera la température de votre chauffage en fonction de la température extérieure. Vous économiserez 10 à 25 % d'énergie, par rapport à un système de chauffage non régulé.</w:t>
      </w:r>
      <w:r w:rsidDel="00000000" w:rsidR="00000000" w:rsidRPr="00000000">
        <w:rPr>
          <w:rtl w:val="0"/>
        </w:rPr>
      </w:r>
    </w:p>
    <w:tbl>
      <w:tblPr>
        <w:tblStyle w:val="Table8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Autres conseils de bon usage :</w:t>
            </w:r>
          </w:p>
        </w:tc>
      </w:tr>
    </w:tbl>
    <w:p w:rsidR="00000000" w:rsidDel="00000000" w:rsidP="00000000" w:rsidRDefault="00000000" w:rsidRPr="00000000" w14:paraId="00000087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Les améliorations possibles de l’ensemble de l’installation et l’intérêt éventuel de remplacement de celle-ci:</w:t>
            </w:r>
          </w:p>
        </w:tc>
      </w:tr>
    </w:tbl>
    <w:p w:rsidR="00000000" w:rsidDel="00000000" w:rsidP="00000000" w:rsidRDefault="00000000" w:rsidRPr="00000000" w14:paraId="00000089">
      <w:pPr>
        <w:spacing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rtl w:val="0"/>
              </w:rPr>
              <w:t xml:space="preserve">Observations :</w:t>
            </w:r>
          </w:p>
        </w:tc>
      </w:tr>
    </w:tbl>
    <w:p w:rsidR="00000000" w:rsidDel="00000000" w:rsidP="00000000" w:rsidRDefault="00000000" w:rsidRPr="00000000" w14:paraId="0000008B">
      <w:pPr>
        <w:rPr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20"/>
        <w:gridCol w:w="4820"/>
        <w:tblGridChange w:id="0">
          <w:tblGrid>
            <w:gridCol w:w="4820"/>
            <w:gridCol w:w="482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rtl w:val="0"/>
              </w:rPr>
              <w:t xml:space="preserve">Nom de la personne ayant effectué l’entretien: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rtl w:val="0"/>
              </w:rPr>
              <w:t xml:space="preserve">Date 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rtl w:val="0"/>
              </w:rPr>
              <w:t xml:space="preserve">Signature :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spacing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1133.8582677165355" w:top="1133.8582677165355" w:left="1133.8582677165355" w:right="1133.8582677165355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Source Serif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Source Sans Pro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1749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5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-825499</wp:posOffset>
              </wp:positionH>
              <wp:positionV relativeFrom="paragraph">
                <wp:posOffset>-457199</wp:posOffset>
              </wp:positionV>
              <wp:extent cx="8001000" cy="89351"/>
              <wp:effectExtent b="0" l="0" r="0" t="0"/>
              <wp:wrapTopAndBottom distB="0" distT="0"/>
              <wp:docPr id="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065000" y="3745050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-825499</wp:posOffset>
              </wp:positionH>
              <wp:positionV relativeFrom="paragraph">
                <wp:posOffset>-457199</wp:posOffset>
              </wp:positionV>
              <wp:extent cx="8001000" cy="89351"/>
              <wp:effectExtent b="0" l="0" r="0" t="0"/>
              <wp:wrapTopAndBottom distB="0" distT="0"/>
              <wp:docPr id="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01000" cy="8935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erifPro-regular.ttf"/><Relationship Id="rId2" Type="http://schemas.openxmlformats.org/officeDocument/2006/relationships/font" Target="fonts/SourceSerifPro-bold.ttf"/><Relationship Id="rId3" Type="http://schemas.openxmlformats.org/officeDocument/2006/relationships/font" Target="fonts/SourceSerifPro-italic.ttf"/><Relationship Id="rId4" Type="http://schemas.openxmlformats.org/officeDocument/2006/relationships/font" Target="fonts/SourceSerifPro-boldItalic.ttf"/><Relationship Id="rId11" Type="http://schemas.openxmlformats.org/officeDocument/2006/relationships/font" Target="fonts/SourceSansPro-italic.ttf"/><Relationship Id="rId10" Type="http://schemas.openxmlformats.org/officeDocument/2006/relationships/font" Target="fonts/SourceSansPro-bold.ttf"/><Relationship Id="rId12" Type="http://schemas.openxmlformats.org/officeDocument/2006/relationships/font" Target="fonts/SourceSansPro-boldItalic.ttf"/><Relationship Id="rId9" Type="http://schemas.openxmlformats.org/officeDocument/2006/relationships/font" Target="fonts/SourceSansPro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rztUVtsXmhzZmQIEsaLm6Nk0rw==">AMUW2mXjQoFTxMnZnMxgNHkRUQlSyhJ42TwFpT9T9n5yafX+ajo63b+UirPH/MB3F9ja5JQ/3DsddJV5ozSScx3vv94ALEPeYjwbbYayix2N0WLaEWaWmNfQBkjBcuF3k7UQW+/0HrOx641Bytzemq/f4HzKaptmZ1ej2D+cuWr7OpZWTirA6bFtHsAJCUSfa7jpy97COfeLrXSoIEB/FB5Wf/YQnHDKxIMQ9qslgyq+c/pheoRGbM5Ikm4Zy8HQUzPsrdFA9bQw6xMmzXADzOFT6CMv+p0B/H+2SJR0WNmdnkTaW/g9kjMz/icrQLH1M4tCB2LLBQ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