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Grille d’analyse pour le coaching </w:t>
        <w:br w:type="textWrapping"/>
        <w:t xml:space="preserve">commercial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mener à bien votre coaching commercial en analysant les aptitudes des commerciaux, Appvizer met à votre disposition cette grille d’analyse de coaching commercial.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Plus d’infos : 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rtl w:val="0"/>
        </w:rPr>
        <w:t xml:space="preserve">https://www.appvizer.fr/magazine/relation-client/activation-ventes/coaching-commercial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ny0enfxby690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Grille d’évaluation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ylpo5h5qbwg3" w:id="1"/>
      <w:bookmarkEnd w:id="1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Informations</w:t>
      </w:r>
    </w:p>
    <w:p w:rsidR="00000000" w:rsidDel="00000000" w:rsidP="00000000" w:rsidRDefault="00000000" w:rsidRPr="00000000" w14:paraId="0000000B">
      <w:pPr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Prénom :</w:t>
        <w:tab/>
        <w:tab/>
        <w:tab/>
        <w:tab/>
        <w:tab/>
        <w:tab/>
        <w:tab/>
        <w:t xml:space="preserve">Nom :</w:t>
      </w:r>
    </w:p>
    <w:p w:rsidR="00000000" w:rsidDel="00000000" w:rsidP="00000000" w:rsidRDefault="00000000" w:rsidRPr="00000000" w14:paraId="0000000C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Poste : </w:t>
        <w:tab/>
        <w:tab/>
        <w:tab/>
        <w:tab/>
        <w:tab/>
        <w:tab/>
        <w:tab/>
        <w:tab/>
        <w:t xml:space="preserve">Date :</w:t>
      </w:r>
    </w:p>
    <w:p w:rsidR="00000000" w:rsidDel="00000000" w:rsidP="00000000" w:rsidRDefault="00000000" w:rsidRPr="00000000" w14:paraId="0000000D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3fvrdfabszb1" w:id="2"/>
      <w:bookmarkEnd w:id="2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Mode d’emploi</w:t>
      </w:r>
    </w:p>
    <w:p w:rsidR="00000000" w:rsidDel="00000000" w:rsidP="00000000" w:rsidRDefault="00000000" w:rsidRPr="00000000" w14:paraId="0000000F">
      <w:pPr>
        <w:keepNext w:val="1"/>
        <w:keepLines w:val="1"/>
        <w:spacing w:after="80" w:before="0"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Lors des différentes observations de votre coaché, attribuez une note de 1 à 5 pour chaque compétence à évaluer.</w:t>
      </w:r>
    </w:p>
    <w:p w:rsidR="00000000" w:rsidDel="00000000" w:rsidP="00000000" w:rsidRDefault="00000000" w:rsidRPr="00000000" w14:paraId="00000010">
      <w:pPr>
        <w:keepNext w:val="1"/>
        <w:keepLines w:val="1"/>
        <w:spacing w:after="80" w:before="0"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Vous pouvez modifier les critères ou en rajouter de nouveaux. Pour créer un nouveau tableau, nous vous conseillons de copier-coller un tableau existant puis d’en modifier les informations.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8mobbzfijii4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bookmarkStart w:colFirst="0" w:colLast="0" w:name="_mt41d1qfc6a" w:id="4"/>
      <w:bookmarkEnd w:id="4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Évaluation</w:t>
      </w: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0"/>
        <w:gridCol w:w="6330"/>
        <w:gridCol w:w="390"/>
        <w:gridCol w:w="390"/>
        <w:gridCol w:w="375"/>
        <w:gridCol w:w="390"/>
        <w:gridCol w:w="375"/>
        <w:tblGridChange w:id="0">
          <w:tblGrid>
            <w:gridCol w:w="1390"/>
            <w:gridCol w:w="6330"/>
            <w:gridCol w:w="390"/>
            <w:gridCol w:w="390"/>
            <w:gridCol w:w="375"/>
            <w:gridCol w:w="390"/>
            <w:gridCol w:w="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Compétence n°1 : appétence à créer rapidement un lien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Fait facilement le premier pas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Maîtrise les “small talk”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Se connecte émotionnellement à l’interlocuteur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Est sincèrement à l’écoute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Faire preuve d’une énergie positive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Est captivant dans sa manière de s’exprimer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0"/>
        <w:gridCol w:w="6330"/>
        <w:gridCol w:w="390"/>
        <w:gridCol w:w="390"/>
        <w:gridCol w:w="375"/>
        <w:gridCol w:w="390"/>
        <w:gridCol w:w="375"/>
        <w:tblGridChange w:id="0">
          <w:tblGrid>
            <w:gridCol w:w="1390"/>
            <w:gridCol w:w="6330"/>
            <w:gridCol w:w="390"/>
            <w:gridCol w:w="390"/>
            <w:gridCol w:w="375"/>
            <w:gridCol w:w="390"/>
            <w:gridCol w:w="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Compétence n°2 : influencer son interlocuteur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Arrive aisément à faire passer ses idées et ses arguments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Utiliser des techniques de persuasion subtiles et variées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Énonce ses arguments avec clarté dans le discours et la voix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Sait mettre du rythme dans propos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Utilise un vocabulaire adapté, positif, et évite les répétitions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Utilise des exemples concrets et imagés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0"/>
        <w:gridCol w:w="6330"/>
        <w:gridCol w:w="390"/>
        <w:gridCol w:w="390"/>
        <w:gridCol w:w="375"/>
        <w:gridCol w:w="390"/>
        <w:gridCol w:w="375"/>
        <w:tblGridChange w:id="0">
          <w:tblGrid>
            <w:gridCol w:w="1390"/>
            <w:gridCol w:w="6330"/>
            <w:gridCol w:w="390"/>
            <w:gridCol w:w="390"/>
            <w:gridCol w:w="375"/>
            <w:gridCol w:w="390"/>
            <w:gridCol w:w="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Compétence n°3 : gestion des affaires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A des idées pour générer des revenus supplémentaires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Il trouve des solutions ingénieuses aux problèmes rencontrés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Élabore des stratégies efficaces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Met en place un plan d’action en toute autonomie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Fait preuve de persévérance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Va au bout de ce qu’il a entrepris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0"/>
        <w:gridCol w:w="6330"/>
        <w:gridCol w:w="390"/>
        <w:gridCol w:w="390"/>
        <w:gridCol w:w="375"/>
        <w:gridCol w:w="390"/>
        <w:gridCol w:w="375"/>
        <w:tblGridChange w:id="0">
          <w:tblGrid>
            <w:gridCol w:w="1390"/>
            <w:gridCol w:w="6330"/>
            <w:gridCol w:w="390"/>
            <w:gridCol w:w="390"/>
            <w:gridCol w:w="375"/>
            <w:gridCol w:w="390"/>
            <w:gridCol w:w="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Compétence n°4 : le dépassement de soi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jc w:val="center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Essaie de se dépasser dès qu’il en a l’occasion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Ne reste pas dans sa zone de confort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Est un compétiteur dans l’âme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Capable de gérer l’affrontement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Source Sans Pro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SourceSansPro-regular.ttf"/><Relationship Id="rId12" Type="http://schemas.openxmlformats.org/officeDocument/2006/relationships/font" Target="fonts/Poppins-boldItalic.ttf"/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9" Type="http://schemas.openxmlformats.org/officeDocument/2006/relationships/font" Target="fonts/Poppins-regular.ttf"/><Relationship Id="rId15" Type="http://schemas.openxmlformats.org/officeDocument/2006/relationships/font" Target="fonts/SourceSansPro-italic.ttf"/><Relationship Id="rId14" Type="http://schemas.openxmlformats.org/officeDocument/2006/relationships/font" Target="fonts/SourceSansPro-bold.ttf"/><Relationship Id="rId16" Type="http://schemas.openxmlformats.org/officeDocument/2006/relationships/font" Target="fonts/SourceSansPro-boldItalic.ttf"/><Relationship Id="rId5" Type="http://schemas.openxmlformats.org/officeDocument/2006/relationships/font" Target="fonts/SourceSansProSemiBold-regular.ttf"/><Relationship Id="rId6" Type="http://schemas.openxmlformats.org/officeDocument/2006/relationships/font" Target="fonts/SourceSansProSemiBold-bold.ttf"/><Relationship Id="rId7" Type="http://schemas.openxmlformats.org/officeDocument/2006/relationships/font" Target="fonts/SourceSansProSemiBold-italic.ttf"/><Relationship Id="rId8" Type="http://schemas.openxmlformats.org/officeDocument/2006/relationships/font" Target="fonts/SourceSansProSemiBold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