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1">
      <w:pPr>
        <w:spacing w:line="240" w:lineRule="auto"/>
        <w:jc w:val="left"/>
        <w:rPr>
          <w:rFonts w:ascii="Poppins" w:cs="Poppins" w:eastAsia="Poppins" w:hAnsi="Poppins"/>
          <w:b w:val="1"/>
          <w:color w:val="243145"/>
          <w:sz w:val="80"/>
          <w:szCs w:val="8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240" w:lineRule="auto"/>
        <w:jc w:val="left"/>
        <w:rPr>
          <w:rFonts w:ascii="Poppins" w:cs="Poppins" w:eastAsia="Poppins" w:hAnsi="Poppins"/>
          <w:b w:val="1"/>
          <w:color w:val="243145"/>
          <w:sz w:val="80"/>
          <w:szCs w:val="8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40" w:lineRule="auto"/>
        <w:jc w:val="left"/>
        <w:rPr>
          <w:rFonts w:ascii="Poppins" w:cs="Poppins" w:eastAsia="Poppins" w:hAnsi="Poppins"/>
          <w:b w:val="1"/>
          <w:color w:val="243145"/>
          <w:sz w:val="84"/>
          <w:szCs w:val="84"/>
        </w:rPr>
      </w:pPr>
      <w:r w:rsidDel="00000000" w:rsidR="00000000" w:rsidRPr="00000000">
        <w:rPr>
          <w:rFonts w:ascii="Poppins" w:cs="Poppins" w:eastAsia="Poppins" w:hAnsi="Poppins"/>
          <w:b w:val="1"/>
          <w:color w:val="243145"/>
          <w:sz w:val="84"/>
          <w:szCs w:val="84"/>
          <w:rtl w:val="0"/>
        </w:rPr>
        <w:t xml:space="preserve">Exemple :</w:t>
        <w:br w:type="textWrapping"/>
        <w:t xml:space="preserve">calcul du besoin en fonds de roulement</w:t>
      </w:r>
    </w:p>
    <w:p w:rsidR="00000000" w:rsidDel="00000000" w:rsidP="00000000" w:rsidRDefault="00000000" w:rsidRPr="00000000" w14:paraId="00000004">
      <w:pPr>
        <w:spacing w:after="0" w:before="0" w:line="240" w:lineRule="auto"/>
        <w:jc w:val="left"/>
        <w:rPr>
          <w:rFonts w:ascii="Proxima Nova" w:cs="Proxima Nova" w:eastAsia="Proxima Nova" w:hAnsi="Proxima Nova"/>
          <w:color w:val="666666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21167</wp:posOffset>
            </wp:positionH>
            <wp:positionV relativeFrom="paragraph">
              <wp:posOffset>68792</wp:posOffset>
            </wp:positionV>
            <wp:extent cx="447675" cy="57150"/>
            <wp:effectExtent b="0" l="0" r="0" t="0"/>
            <wp:wrapTopAndBottom distB="0" distT="0"/>
            <wp:docPr descr="ligne courte" id="3" name="image2.png"/>
            <a:graphic>
              <a:graphicData uri="http://schemas.openxmlformats.org/drawingml/2006/picture">
                <pic:pic>
                  <pic:nvPicPr>
                    <pic:cNvPr descr="ligne courte" id="0" name="image2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47675" cy="5715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5">
      <w:pPr>
        <w:spacing w:after="0" w:before="0" w:line="360" w:lineRule="auto"/>
        <w:jc w:val="left"/>
        <w:rPr>
          <w:rFonts w:ascii="Poppins" w:cs="Poppins" w:eastAsia="Poppins" w:hAnsi="Poppins"/>
          <w:color w:val="243145"/>
        </w:rPr>
      </w:pPr>
      <w:r w:rsidDel="00000000" w:rsidR="00000000" w:rsidRPr="00000000">
        <w:rPr>
          <w:rFonts w:ascii="Proxima Nova" w:cs="Proxima Nova" w:eastAsia="Proxima Nova" w:hAnsi="Proxima Nova"/>
          <w:color w:val="666666"/>
          <w:rtl w:val="0"/>
        </w:rPr>
        <w:br w:type="textWrapping"/>
        <w:br w:type="textWrapping"/>
        <w:br w:type="textWrapping"/>
      </w:r>
      <w:r w:rsidDel="00000000" w:rsidR="00000000" w:rsidRPr="00000000">
        <w:rPr>
          <w:rFonts w:ascii="Poppins" w:cs="Poppins" w:eastAsia="Poppins" w:hAnsi="Poppins"/>
          <w:color w:val="243145"/>
          <w:rtl w:val="0"/>
        </w:rPr>
        <w:t xml:space="preserve">Pour vous aider à mieux comprendre la méthode de calcul du besoin en fonds de roulement (BFR) de votre entreprise, Appvizer met à votre disposition un cas pratique détaillé. Vous pouvez vous en inspirer pour faire vos propres calculs !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before="0" w:line="360" w:lineRule="auto"/>
        <w:jc w:val="left"/>
        <w:rPr>
          <w:rFonts w:ascii="Poppins" w:cs="Poppins" w:eastAsia="Poppins" w:hAnsi="Poppins"/>
          <w:color w:val="24314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before="0" w:line="360" w:lineRule="auto"/>
        <w:ind w:left="0" w:firstLine="0"/>
        <w:jc w:val="left"/>
        <w:rPr>
          <w:rFonts w:ascii="Poppins" w:cs="Poppins" w:eastAsia="Poppins" w:hAnsi="Poppins"/>
          <w:color w:val="00abd8"/>
          <w:u w:val="single"/>
        </w:rPr>
      </w:pPr>
      <w:r w:rsidDel="00000000" w:rsidR="00000000" w:rsidRPr="00000000">
        <w:rPr>
          <w:rFonts w:ascii="Poppins" w:cs="Poppins" w:eastAsia="Poppins" w:hAnsi="Poppins"/>
          <w:color w:val="243145"/>
          <w:rtl w:val="0"/>
        </w:rPr>
        <w:t xml:space="preserve">Plus d’infos : </w:t>
      </w:r>
      <w:hyperlink r:id="rId7">
        <w:r w:rsidDel="00000000" w:rsidR="00000000" w:rsidRPr="00000000">
          <w:rPr>
            <w:rFonts w:ascii="Poppins" w:cs="Poppins" w:eastAsia="Poppins" w:hAnsi="Poppins"/>
            <w:color w:val="00abd8"/>
            <w:u w:val="single"/>
            <w:rtl w:val="0"/>
          </w:rPr>
          <w:t xml:space="preserve">https://www.appvizer.fr/magazine/finance-comptabilite/comptabilite/besoin-fonds-roulement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360" w:lineRule="auto"/>
        <w:rPr>
          <w:rFonts w:ascii="Poppins" w:cs="Poppins" w:eastAsia="Poppins" w:hAnsi="Poppins"/>
          <w:b w:val="1"/>
          <w:color w:val="243145"/>
          <w:sz w:val="48"/>
          <w:szCs w:val="48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Style w:val="Heading1"/>
        <w:keepNext w:val="1"/>
        <w:keepLines w:val="1"/>
        <w:spacing w:after="120" w:before="360" w:line="276" w:lineRule="auto"/>
        <w:jc w:val="left"/>
        <w:rPr>
          <w:rFonts w:ascii="Poppins" w:cs="Poppins" w:eastAsia="Poppins" w:hAnsi="Poppins"/>
        </w:rPr>
      </w:pPr>
      <w:bookmarkStart w:colFirst="0" w:colLast="0" w:name="_rficntbeqmmm" w:id="0"/>
      <w:bookmarkEnd w:id="0"/>
      <w:r w:rsidDel="00000000" w:rsidR="00000000" w:rsidRPr="00000000">
        <w:rPr>
          <w:rFonts w:ascii="Poppins" w:cs="Poppins" w:eastAsia="Poppins" w:hAnsi="Poppins"/>
          <w:sz w:val="48"/>
          <w:szCs w:val="48"/>
          <w:rtl w:val="0"/>
        </w:rPr>
        <w:t xml:space="preserve">Exemple : calcul du BFR d’une entreprise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Style w:val="Heading2"/>
        <w:ind w:firstLine="360"/>
        <w:jc w:val="left"/>
        <w:rPr>
          <w:rFonts w:ascii="Poppins SemiBold" w:cs="Poppins SemiBold" w:eastAsia="Poppins SemiBold" w:hAnsi="Poppins SemiBold"/>
          <w:b w:val="0"/>
          <w:color w:val="000000"/>
          <w:sz w:val="22"/>
          <w:szCs w:val="22"/>
        </w:rPr>
      </w:pPr>
      <w:bookmarkStart w:colFirst="0" w:colLast="0" w:name="_30shm3yl8i8u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left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Prenons l’exemple d’une entreprise de production, dont le chiffre d’affaires s’élève à 500 000 euros HT (600 000 euros TTC, avec la TVA à 20 %)</w:t>
      </w:r>
      <w:r w:rsidDel="00000000" w:rsidR="00000000" w:rsidRPr="00000000">
        <w:rPr>
          <w:rFonts w:ascii="Poppins" w:cs="Poppins" w:eastAsia="Poppins" w:hAnsi="Poppins"/>
          <w:rtl w:val="0"/>
        </w:rPr>
        <w:t xml:space="preserve">. </w:t>
      </w:r>
    </w:p>
    <w:p w:rsidR="00000000" w:rsidDel="00000000" w:rsidP="00000000" w:rsidRDefault="00000000" w:rsidRPr="00000000" w14:paraId="0000000C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left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Voici les caractéristiques de cette entreprise :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00" w:lineRule="auto"/>
        <w:ind w:left="720" w:hanging="360"/>
        <w:jc w:val="left"/>
        <w:rPr>
          <w:rFonts w:ascii="Poppins" w:cs="Poppins" w:eastAsia="Poppins" w:hAnsi="Poppins"/>
          <w:u w:val="none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Achats</w:t>
      </w:r>
      <w:r w:rsidDel="00000000" w:rsidR="00000000" w:rsidRPr="00000000">
        <w:rPr>
          <w:rFonts w:ascii="Poppins" w:cs="Poppins" w:eastAsia="Poppins" w:hAnsi="Poppins"/>
          <w:rtl w:val="0"/>
        </w:rPr>
        <w:t xml:space="preserve"> : 150 000 € sont consacrés aux achats (180 000 € TTC). 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00" w:before="0" w:lineRule="auto"/>
        <w:ind w:left="720" w:hanging="360"/>
        <w:jc w:val="left"/>
        <w:rPr>
          <w:rFonts w:ascii="Poppins" w:cs="Poppins" w:eastAsia="Poppins" w:hAnsi="Poppins"/>
          <w:u w:val="none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Conditions de règlement des clients : 50 % à 30 jours et 50 % à 60 jours.</w:t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00" w:before="0" w:lineRule="auto"/>
        <w:ind w:left="720" w:hanging="360"/>
        <w:jc w:val="left"/>
        <w:rPr>
          <w:rFonts w:ascii="Poppins" w:cs="Poppins" w:eastAsia="Poppins" w:hAnsi="Poppins"/>
          <w:u w:val="none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Délais de paiement des fournisseurs : 40 % à 60 jours et 60 % à 30 jours.</w:t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00" w:before="0" w:lineRule="auto"/>
        <w:ind w:left="720" w:hanging="360"/>
        <w:jc w:val="left"/>
        <w:rPr>
          <w:rFonts w:ascii="Poppins" w:cs="Poppins" w:eastAsia="Poppins" w:hAnsi="Poppins"/>
          <w:u w:val="none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Les stocks de consommables représentent 1,5 mois d’achats HT.</w:t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00" w:lineRule="auto"/>
        <w:ind w:left="720" w:hanging="360"/>
        <w:jc w:val="left"/>
        <w:rPr>
          <w:rFonts w:ascii="Poppins" w:cs="Poppins" w:eastAsia="Poppins" w:hAnsi="Poppins"/>
          <w:u w:val="none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Les stocks de produits finis représentent 10 jours de chiffre d’affaires HT.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00" w:lineRule="auto"/>
        <w:ind w:left="720" w:firstLine="0"/>
        <w:jc w:val="left"/>
        <w:rPr>
          <w:rFonts w:ascii="Poppins" w:cs="Poppins" w:eastAsia="Poppins" w:hAnsi="Poppi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00" w:lineRule="auto"/>
        <w:ind w:left="0" w:firstLine="0"/>
        <w:jc w:val="left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Voici comment calculer le BFR :</w:t>
      </w:r>
      <w:r w:rsidDel="00000000" w:rsidR="00000000" w:rsidRPr="00000000">
        <w:rPr>
          <w:rtl w:val="0"/>
        </w:rPr>
      </w:r>
    </w:p>
    <w:tbl>
      <w:tblPr>
        <w:tblStyle w:val="Table1"/>
        <w:tblW w:w="10207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207"/>
        <w:tblGridChange w:id="0">
          <w:tblGrid>
            <w:gridCol w:w="10207"/>
          </w:tblGrid>
        </w:tblGridChange>
      </w:tblGrid>
      <w:tr>
        <w:tc>
          <w:tcPr>
            <w:tcBorders>
              <w:top w:color="00abd8" w:space="0" w:sz="8" w:val="single"/>
              <w:left w:color="00abd8" w:space="0" w:sz="8" w:val="single"/>
              <w:bottom w:color="00abd8" w:space="0" w:sz="8" w:val="single"/>
              <w:right w:color="00abd8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numPr>
                <w:ilvl w:val="0"/>
                <w:numId w:val="2"/>
              </w:num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200" w:lineRule="auto"/>
              <w:ind w:left="720" w:hanging="360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Fonts w:ascii="Poppins" w:cs="Poppins" w:eastAsia="Poppins" w:hAnsi="Poppins"/>
                <w:b w:val="1"/>
                <w:rtl w:val="0"/>
              </w:rPr>
              <w:t xml:space="preserve">Créances clients</w:t>
            </w:r>
            <w:r w:rsidDel="00000000" w:rsidR="00000000" w:rsidRPr="00000000">
              <w:rPr>
                <w:rFonts w:ascii="Poppins" w:cs="Poppins" w:eastAsia="Poppins" w:hAnsi="Poppins"/>
                <w:rtl w:val="0"/>
              </w:rPr>
              <w:t xml:space="preserve"> = </w:t>
            </w:r>
          </w:p>
          <w:p w:rsidR="00000000" w:rsidDel="00000000" w:rsidP="00000000" w:rsidRDefault="00000000" w:rsidRPr="00000000" w14:paraId="00000015">
            <w:pPr>
              <w:numPr>
                <w:ilvl w:val="1"/>
                <w:numId w:val="2"/>
              </w:num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200" w:lineRule="auto"/>
              <w:ind w:left="1440" w:hanging="360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Fonts w:ascii="Poppins" w:cs="Poppins" w:eastAsia="Poppins" w:hAnsi="Poppins"/>
                <w:rtl w:val="0"/>
              </w:rPr>
              <w:t xml:space="preserve">(50 % x 30 jours) + (50 % x 60 jours) = 15 jours + 30 jours =</w:t>
            </w:r>
            <w:r w:rsidDel="00000000" w:rsidR="00000000" w:rsidRPr="00000000">
              <w:rPr>
                <w:rFonts w:ascii="Poppins" w:cs="Poppins" w:eastAsia="Poppins" w:hAnsi="Poppins"/>
                <w:b w:val="1"/>
                <w:rtl w:val="0"/>
              </w:rPr>
              <w:t xml:space="preserve"> </w:t>
            </w:r>
            <w:r w:rsidDel="00000000" w:rsidR="00000000" w:rsidRPr="00000000">
              <w:rPr>
                <w:rFonts w:ascii="Poppins" w:cs="Poppins" w:eastAsia="Poppins" w:hAnsi="Poppins"/>
                <w:rtl w:val="0"/>
              </w:rPr>
              <w:t xml:space="preserve">45 jours de CA TTC</w:t>
            </w:r>
          </w:p>
          <w:p w:rsidR="00000000" w:rsidDel="00000000" w:rsidP="00000000" w:rsidRDefault="00000000" w:rsidRPr="00000000" w14:paraId="00000016">
            <w:pPr>
              <w:numPr>
                <w:ilvl w:val="1"/>
                <w:numId w:val="2"/>
              </w:num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200" w:lineRule="auto"/>
              <w:ind w:left="1440" w:hanging="360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Fonts w:ascii="Poppins" w:cs="Poppins" w:eastAsia="Poppins" w:hAnsi="Poppins"/>
                <w:rtl w:val="0"/>
              </w:rPr>
              <w:t xml:space="preserve">500 000 € x 45 jours / 365 jours =</w:t>
            </w:r>
            <w:r w:rsidDel="00000000" w:rsidR="00000000" w:rsidRPr="00000000">
              <w:rPr>
                <w:rFonts w:ascii="Poppins" w:cs="Poppins" w:eastAsia="Poppins" w:hAnsi="Poppins"/>
                <w:b w:val="1"/>
                <w:rtl w:val="0"/>
              </w:rPr>
              <w:t xml:space="preserve"> 61 644</w:t>
            </w:r>
            <w:r w:rsidDel="00000000" w:rsidR="00000000" w:rsidRPr="00000000">
              <w:rPr>
                <w:rFonts w:ascii="Poppins" w:cs="Poppins" w:eastAsia="Poppins" w:hAnsi="Poppins"/>
                <w:rtl w:val="0"/>
              </w:rPr>
              <w:t xml:space="preserve"> €</w:t>
            </w:r>
          </w:p>
          <w:p w:rsidR="00000000" w:rsidDel="00000000" w:rsidP="00000000" w:rsidRDefault="00000000" w:rsidRPr="00000000" w14:paraId="00000017">
            <w:pPr>
              <w:numPr>
                <w:ilvl w:val="0"/>
                <w:numId w:val="2"/>
              </w:num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200" w:before="0" w:lineRule="auto"/>
              <w:ind w:left="720" w:hanging="360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Fonts w:ascii="Poppins" w:cs="Poppins" w:eastAsia="Poppins" w:hAnsi="Poppins"/>
                <w:b w:val="1"/>
                <w:rtl w:val="0"/>
              </w:rPr>
              <w:t xml:space="preserve">Stocks de consommables</w:t>
            </w:r>
            <w:r w:rsidDel="00000000" w:rsidR="00000000" w:rsidRPr="00000000">
              <w:rPr>
                <w:rFonts w:ascii="Poppins" w:cs="Poppins" w:eastAsia="Poppins" w:hAnsi="Poppins"/>
                <w:rtl w:val="0"/>
              </w:rPr>
              <w:t xml:space="preserve"> = 150 000 € x 1,5 mois / 12 mois =</w:t>
            </w:r>
            <w:r w:rsidDel="00000000" w:rsidR="00000000" w:rsidRPr="00000000">
              <w:rPr>
                <w:rFonts w:ascii="Poppins" w:cs="Poppins" w:eastAsia="Poppins" w:hAnsi="Poppins"/>
                <w:b w:val="1"/>
                <w:rtl w:val="0"/>
              </w:rPr>
              <w:t xml:space="preserve"> 18 750</w:t>
            </w:r>
            <w:r w:rsidDel="00000000" w:rsidR="00000000" w:rsidRPr="00000000">
              <w:rPr>
                <w:rFonts w:ascii="Poppins" w:cs="Poppins" w:eastAsia="Poppins" w:hAnsi="Poppins"/>
                <w:rtl w:val="0"/>
              </w:rPr>
              <w:t xml:space="preserve"> €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numPr>
                <w:ilvl w:val="0"/>
                <w:numId w:val="2"/>
              </w:numPr>
              <w:spacing w:after="200" w:line="360" w:lineRule="auto"/>
              <w:ind w:left="720" w:hanging="360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Fonts w:ascii="Poppins" w:cs="Poppins" w:eastAsia="Poppins" w:hAnsi="Poppins"/>
                <w:b w:val="1"/>
                <w:rtl w:val="0"/>
              </w:rPr>
              <w:t xml:space="preserve">Stocks de produits finis</w:t>
            </w:r>
            <w:r w:rsidDel="00000000" w:rsidR="00000000" w:rsidRPr="00000000">
              <w:rPr>
                <w:rFonts w:ascii="Poppins" w:cs="Poppins" w:eastAsia="Poppins" w:hAnsi="Poppins"/>
                <w:rtl w:val="0"/>
              </w:rPr>
              <w:t xml:space="preserve"> = </w:t>
            </w:r>
            <w:r w:rsidDel="00000000" w:rsidR="00000000" w:rsidRPr="00000000">
              <w:rPr>
                <w:rFonts w:ascii="Poppins" w:cs="Poppins" w:eastAsia="Poppins" w:hAnsi="Poppins"/>
                <w:rtl w:val="0"/>
              </w:rPr>
              <w:t xml:space="preserve">500 000 € x 10 / 365 jours = </w:t>
            </w:r>
            <w:r w:rsidDel="00000000" w:rsidR="00000000" w:rsidRPr="00000000">
              <w:rPr>
                <w:rFonts w:ascii="Poppins" w:cs="Poppins" w:eastAsia="Poppins" w:hAnsi="Poppins"/>
                <w:b w:val="1"/>
                <w:rtl w:val="0"/>
              </w:rPr>
              <w:t xml:space="preserve">13 699</w:t>
            </w:r>
            <w:r w:rsidDel="00000000" w:rsidR="00000000" w:rsidRPr="00000000">
              <w:rPr>
                <w:rFonts w:ascii="Poppins" w:cs="Poppins" w:eastAsia="Poppins" w:hAnsi="Poppins"/>
                <w:rtl w:val="0"/>
              </w:rPr>
              <w:t xml:space="preserve"> €</w:t>
            </w:r>
          </w:p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360" w:lineRule="auto"/>
              <w:ind w:left="720" w:right="0" w:hanging="360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Fonts w:ascii="Poppins" w:cs="Poppins" w:eastAsia="Poppins" w:hAnsi="Poppins"/>
                <w:b w:val="1"/>
                <w:rtl w:val="0"/>
              </w:rPr>
              <w:t xml:space="preserve">Cré</w:t>
            </w:r>
            <w:r w:rsidDel="00000000" w:rsidR="00000000" w:rsidRPr="00000000">
              <w:rPr>
                <w:rFonts w:ascii="Poppins" w:cs="Poppins" w:eastAsia="Poppins" w:hAnsi="Poppins"/>
                <w:b w:val="1"/>
                <w:rtl w:val="0"/>
              </w:rPr>
              <w:t xml:space="preserve">dit fournisseur </w:t>
            </w:r>
            <w:r w:rsidDel="00000000" w:rsidR="00000000" w:rsidRPr="00000000">
              <w:rPr>
                <w:rFonts w:ascii="Poppins" w:cs="Poppins" w:eastAsia="Poppins" w:hAnsi="Poppins"/>
                <w:rtl w:val="0"/>
              </w:rPr>
              <w:t xml:space="preserve">= </w:t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widowControl w:val="1"/>
              <w:numPr>
                <w:ilvl w:val="1"/>
                <w:numId w:val="2"/>
              </w:num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200" w:before="0" w:line="276" w:lineRule="auto"/>
              <w:ind w:left="1440" w:right="0" w:hanging="360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Fonts w:ascii="Poppins" w:cs="Poppins" w:eastAsia="Poppins" w:hAnsi="Poppins"/>
                <w:rtl w:val="0"/>
              </w:rPr>
              <w:t xml:space="preserve">(40 % x 60 jours) + (60 % x 30 jours) = 24 jours + 18 jours = 42 jours d'achats TTC</w:t>
            </w:r>
          </w:p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1"/>
              <w:numPr>
                <w:ilvl w:val="1"/>
                <w:numId w:val="2"/>
              </w:num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200" w:before="0" w:line="276" w:lineRule="auto"/>
              <w:ind w:left="1440" w:right="0" w:hanging="360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Fonts w:ascii="Poppins" w:cs="Poppins" w:eastAsia="Poppins" w:hAnsi="Poppins"/>
                <w:rtl w:val="0"/>
              </w:rPr>
              <w:t xml:space="preserve">180 000 € x 42 jours / 365 jours = 20 712 €</w:t>
            </w:r>
          </w:p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360" w:lineRule="auto"/>
              <w:ind w:left="720" w:right="0" w:hanging="360"/>
              <w:jc w:val="left"/>
              <w:rPr>
                <w:rFonts w:ascii="Poppins" w:cs="Poppins" w:eastAsia="Poppins" w:hAnsi="Poppins"/>
                <w:u w:val="none"/>
              </w:rPr>
            </w:pPr>
            <w:r w:rsidDel="00000000" w:rsidR="00000000" w:rsidRPr="00000000">
              <w:rPr>
                <w:rFonts w:ascii="Poppins" w:cs="Poppins" w:eastAsia="Poppins" w:hAnsi="Poppins"/>
                <w:b w:val="1"/>
                <w:rtl w:val="0"/>
              </w:rPr>
              <w:t xml:space="preserve">BFR</w:t>
            </w:r>
            <w:r w:rsidDel="00000000" w:rsidR="00000000" w:rsidRPr="00000000">
              <w:rPr>
                <w:rFonts w:ascii="Poppins" w:cs="Poppins" w:eastAsia="Poppins" w:hAnsi="Poppins"/>
                <w:rtl w:val="0"/>
              </w:rPr>
              <w:t xml:space="preserve"> = (61 644 +  18 750 + 13 699) - 20 712 = </w:t>
            </w:r>
            <w:r w:rsidDel="00000000" w:rsidR="00000000" w:rsidRPr="00000000">
              <w:rPr>
                <w:rFonts w:ascii="Poppins" w:cs="Poppins" w:eastAsia="Poppins" w:hAnsi="Poppins"/>
                <w:b w:val="1"/>
                <w:rtl w:val="0"/>
              </w:rPr>
              <w:t xml:space="preserve">73 381 €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D">
      <w:pPr>
        <w:spacing w:after="0" w:lineRule="auto"/>
        <w:jc w:val="left"/>
        <w:rPr>
          <w:rFonts w:ascii="Poppins" w:cs="Poppins" w:eastAsia="Poppins" w:hAnsi="Poppi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0" w:lineRule="auto"/>
        <w:jc w:val="left"/>
        <w:rPr>
          <w:rFonts w:ascii="Poppins" w:cs="Poppins" w:eastAsia="Poppins" w:hAnsi="Poppins"/>
        </w:rPr>
      </w:pPr>
      <w:r w:rsidDel="00000000" w:rsidR="00000000" w:rsidRPr="00000000">
        <w:rPr>
          <w:rtl w:val="0"/>
        </w:rPr>
      </w:r>
    </w:p>
    <w:sectPr>
      <w:headerReference r:id="rId8" w:type="default"/>
      <w:headerReference r:id="rId9" w:type="first"/>
      <w:footerReference r:id="rId10" w:type="default"/>
      <w:footerReference r:id="rId11" w:type="first"/>
      <w:pgSz w:h="16838" w:w="11906" w:orient="portrait"/>
      <w:pgMar w:bottom="566.9291338582677" w:top="1133.8582677165355" w:left="1133.8582677165355" w:right="566.9291338582677" w:header="720.0000000000001" w:footer="566.9291338582677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rebuchet MS"/>
  <w:font w:name="Proxima Nova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Poppins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  <w:font w:name="Poppins SemiBold">
    <w:embedRegular w:fontKey="{00000000-0000-0000-0000-000000000000}" r:id="rId9" w:subsetted="0"/>
    <w:embedBold w:fontKey="{00000000-0000-0000-0000-000000000000}" r:id="rId10" w:subsetted="0"/>
    <w:embedItalic w:fontKey="{00000000-0000-0000-0000-000000000000}" r:id="rId11" w:subsetted="0"/>
    <w:embedBoldItalic w:fontKey="{00000000-0000-0000-0000-000000000000}" r:id="rId1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F">
    <w:pPr>
      <w:pBdr>
        <w:top w:color="auto" w:space="0" w:sz="0" w:val="none"/>
        <w:left w:color="auto" w:space="0" w:sz="0" w:val="none"/>
        <w:bottom w:color="auto" w:space="0" w:sz="0" w:val="none"/>
        <w:right w:color="auto" w:space="0" w:sz="0" w:val="none"/>
        <w:between w:color="auto" w:space="0" w:sz="0" w:val="none"/>
      </w:pBdr>
      <w:shd w:fill="ffffff" w:val="clear"/>
      <w:spacing w:after="1000" w:lineRule="auto"/>
      <w:ind w:left="720" w:firstLine="0"/>
      <w:jc w:val="left"/>
      <w:rPr>
        <w:rFonts w:ascii="Poppins" w:cs="Poppins" w:eastAsia="Poppins" w:hAnsi="Poppins"/>
        <w:sz w:val="12"/>
        <w:szCs w:val="12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2">
    <w:pPr>
      <w:spacing w:after="0" w:lineRule="auto"/>
      <w:rPr/>
    </w:pPr>
    <w:r w:rsidDel="00000000" w:rsidR="00000000" w:rsidRPr="00000000">
      <w:rPr/>
      <w:drawing>
        <wp:inline distB="114300" distT="114300" distL="114300" distR="114300">
          <wp:extent cx="1756500" cy="428625"/>
          <wp:effectExtent b="0" l="0" r="0" t="0"/>
          <wp:docPr id="2" name="image3.png"/>
          <a:graphic>
            <a:graphicData uri="http://schemas.openxmlformats.org/drawingml/2006/picture">
              <pic:pic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 b="0" l="0" r="10044" t="0"/>
                  <a:stretch>
                    <a:fillRect/>
                  </a:stretch>
                </pic:blipFill>
                <pic:spPr>
                  <a:xfrm>
                    <a:off x="0" y="0"/>
                    <a:ext cx="1756500" cy="42862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  <w:br w:type="textWrapping"/>
      <w:t xml:space="preserve">    </w:t>
    </w:r>
    <w:r w:rsidDel="00000000" w:rsidR="00000000" w:rsidRPr="00000000">
      <w:rPr>
        <w:rFonts w:ascii="Poppins" w:cs="Poppins" w:eastAsia="Poppins" w:hAnsi="Poppins"/>
        <w:sz w:val="12"/>
        <w:szCs w:val="12"/>
        <w:rtl w:val="0"/>
      </w:rPr>
      <w:t xml:space="preserve">Actualité, guides et comparatifs de logiciels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0">
    <w:pPr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1">
    <w:pPr>
      <w:rPr/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0" distR="0" hidden="0" layoutInCell="1" locked="0" relativeHeight="0" simplePos="0">
              <wp:simplePos x="0" y="0"/>
              <wp:positionH relativeFrom="column">
                <wp:posOffset>-832907</wp:posOffset>
              </wp:positionH>
              <wp:positionV relativeFrom="paragraph">
                <wp:posOffset>-457199</wp:posOffset>
              </wp:positionV>
              <wp:extent cx="7991475" cy="79826"/>
              <wp:effectExtent b="0" l="0" r="0" t="0"/>
              <wp:wrapTopAndBottom distB="0" distT="0"/>
              <wp:docPr id="1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623575" y="475725"/>
                        <a:ext cx="8562000" cy="69900"/>
                      </a:xfrm>
                      <a:prstGeom prst="rect">
                        <a:avLst/>
                      </a:prstGeom>
                      <a:solidFill>
                        <a:srgbClr val="00ABD8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0" distR="0" hidden="0" layoutInCell="1" locked="0" relativeHeight="0" simplePos="0">
              <wp:simplePos x="0" y="0"/>
              <wp:positionH relativeFrom="column">
                <wp:posOffset>-832907</wp:posOffset>
              </wp:positionH>
              <wp:positionV relativeFrom="paragraph">
                <wp:posOffset>-457199</wp:posOffset>
              </wp:positionV>
              <wp:extent cx="7991475" cy="79826"/>
              <wp:effectExtent b="0" l="0" r="0" t="0"/>
              <wp:wrapTopAndBottom distB="0" distT="0"/>
              <wp:docPr id="1" name="image1.png"/>
              <a:graphic>
                <a:graphicData uri="http://schemas.openxmlformats.org/drawingml/2006/picture">
                  <pic:pic>
                    <pic:nvPicPr>
                      <pic:cNvPr id="0" name="image1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991475" cy="79826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➔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◆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◆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➔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◆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◆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lang w:val="fr"/>
      </w:rPr>
    </w:rPrDefault>
    <w:pPrDefault>
      <w:pPr>
        <w:spacing w:after="200" w:line="276" w:lineRule="auto"/>
        <w:jc w:val="both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spacing w:before="100" w:line="240" w:lineRule="auto"/>
    </w:pPr>
    <w:rPr>
      <w:b w:val="1"/>
      <w:color w:val="243145"/>
      <w:sz w:val="28"/>
      <w:szCs w:val="28"/>
    </w:rPr>
  </w:style>
  <w:style w:type="paragraph" w:styleId="Heading2">
    <w:name w:val="heading 2"/>
    <w:basedOn w:val="Normal"/>
    <w:next w:val="Normal"/>
    <w:pPr>
      <w:spacing w:before="100" w:line="240" w:lineRule="auto"/>
      <w:ind w:left="720" w:firstLine="0"/>
    </w:pPr>
    <w:rPr>
      <w:b w:val="1"/>
      <w:color w:val="0880a6"/>
      <w:sz w:val="24"/>
      <w:szCs w:val="24"/>
    </w:rPr>
  </w:style>
  <w:style w:type="paragraph" w:styleId="Heading3">
    <w:name w:val="heading 3"/>
    <w:basedOn w:val="Normal"/>
    <w:next w:val="Normal"/>
    <w:pPr>
      <w:spacing w:before="100" w:line="240" w:lineRule="auto"/>
      <w:ind w:left="1440" w:firstLine="0"/>
    </w:pPr>
    <w:rPr>
      <w:b w:val="1"/>
      <w:color w:val="00abd8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spacing w:line="240" w:lineRule="auto"/>
      <w:ind w:left="2160" w:firstLine="0"/>
    </w:pPr>
    <w:rPr>
      <w:sz w:val="22"/>
      <w:szCs w:val="22"/>
      <w:u w:val="single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160" w:lineRule="auto"/>
    </w:pPr>
    <w:rPr>
      <w:rFonts w:ascii="Trebuchet MS" w:cs="Trebuchet MS" w:eastAsia="Trebuchet MS" w:hAnsi="Trebuchet MS"/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160" w:lineRule="auto"/>
    </w:pPr>
    <w:rPr>
      <w:rFonts w:ascii="Trebuchet MS" w:cs="Trebuchet MS" w:eastAsia="Trebuchet MS" w:hAnsi="Trebuchet MS"/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spacing w:after="0" w:lineRule="auto"/>
      <w:jc w:val="center"/>
    </w:pPr>
    <w:rPr>
      <w:color w:val="243145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200" w:before="0" w:lineRule="auto"/>
    </w:pPr>
    <w:rPr>
      <w:rFonts w:ascii="Trebuchet MS" w:cs="Trebuchet MS" w:eastAsia="Trebuchet MS" w:hAnsi="Trebuchet MS"/>
      <w:i w:val="1"/>
      <w:color w:val="666666"/>
      <w:sz w:val="26"/>
      <w:szCs w:val="26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1.xml"/><Relationship Id="rId9" Type="http://schemas.openxmlformats.org/officeDocument/2006/relationships/header" Target="header2.xm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hyperlink" Target="https://www.appvizer.fr/magazine/finance-comptabilite/comptabilite/besoin-fonds-roulement" TargetMode="External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roximaNova-regular.ttf"/><Relationship Id="rId2" Type="http://schemas.openxmlformats.org/officeDocument/2006/relationships/font" Target="fonts/ProximaNova-bold.ttf"/><Relationship Id="rId3" Type="http://schemas.openxmlformats.org/officeDocument/2006/relationships/font" Target="fonts/ProximaNova-italic.ttf"/><Relationship Id="rId4" Type="http://schemas.openxmlformats.org/officeDocument/2006/relationships/font" Target="fonts/ProximaNova-boldItalic.ttf"/><Relationship Id="rId11" Type="http://schemas.openxmlformats.org/officeDocument/2006/relationships/font" Target="fonts/PoppinsSemiBold-italic.ttf"/><Relationship Id="rId10" Type="http://schemas.openxmlformats.org/officeDocument/2006/relationships/font" Target="fonts/PoppinsSemiBold-bold.ttf"/><Relationship Id="rId12" Type="http://schemas.openxmlformats.org/officeDocument/2006/relationships/font" Target="fonts/PoppinsSemiBold-boldItalic.ttf"/><Relationship Id="rId9" Type="http://schemas.openxmlformats.org/officeDocument/2006/relationships/font" Target="fonts/PoppinsSemiBold-regular.ttf"/><Relationship Id="rId5" Type="http://schemas.openxmlformats.org/officeDocument/2006/relationships/font" Target="fonts/Poppins-regular.ttf"/><Relationship Id="rId6" Type="http://schemas.openxmlformats.org/officeDocument/2006/relationships/font" Target="fonts/Poppins-bold.ttf"/><Relationship Id="rId7" Type="http://schemas.openxmlformats.org/officeDocument/2006/relationships/font" Target="fonts/Poppins-italic.ttf"/><Relationship Id="rId8" Type="http://schemas.openxmlformats.org/officeDocument/2006/relationships/font" Target="fonts/Poppins-boldItalic.ttf"/></Relationships>
</file>

<file path=word/_rels/footer2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